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  <w:bookmarkStart w:id="0" w:name="_GoBack"/>
      <w:bookmarkEnd w:id="0"/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Ofício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questionamento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 xml:space="preserve"> à DGER</w:t>
      </w:r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</w:p>
    <w:p w:rsidR="00F12464" w:rsidRPr="00F12464" w:rsidRDefault="00F12464" w:rsidP="00F12464">
      <w:pPr>
        <w:spacing w:after="240"/>
        <w:rPr>
          <w:rFonts w:ascii="Tahoma" w:eastAsia="Times New Roman" w:hAnsi="Tahoma" w:cs="Tahoma"/>
          <w:color w:val="212121"/>
          <w:lang w:val="en-US"/>
        </w:rPr>
      </w:pPr>
      <w:r w:rsidRPr="00F12464">
        <w:rPr>
          <w:rFonts w:ascii="Tahoma" w:eastAsia="Times New Roman" w:hAnsi="Tahoma" w:cs="Tahoma"/>
          <w:color w:val="212121"/>
          <w:lang w:val="en-US"/>
        </w:rPr>
        <w:t xml:space="preserve">Em 20 de </w:t>
      </w:r>
      <w:proofErr w:type="spellStart"/>
      <w:r w:rsidRPr="00F12464">
        <w:rPr>
          <w:rFonts w:ascii="Tahoma" w:eastAsia="Times New Roman" w:hAnsi="Tahoma" w:cs="Tahoma"/>
          <w:color w:val="212121"/>
          <w:lang w:val="en-US"/>
        </w:rPr>
        <w:t>abr</w:t>
      </w:r>
      <w:proofErr w:type="spellEnd"/>
      <w:r w:rsidRPr="00F12464">
        <w:rPr>
          <w:rFonts w:ascii="Tahoma" w:eastAsia="Times New Roman" w:hAnsi="Tahoma" w:cs="Tahoma"/>
          <w:color w:val="212121"/>
          <w:lang w:val="en-US"/>
        </w:rPr>
        <w:t xml:space="preserve"> de 2020, à(s) 19:14, Francisco </w:t>
      </w:r>
      <w:proofErr w:type="spellStart"/>
      <w:r w:rsidRPr="00F12464">
        <w:rPr>
          <w:rFonts w:ascii="Tahoma" w:eastAsia="Times New Roman" w:hAnsi="Tahoma" w:cs="Tahoma"/>
          <w:color w:val="212121"/>
          <w:lang w:val="en-US"/>
        </w:rPr>
        <w:t>Tadeu</w:t>
      </w:r>
      <w:proofErr w:type="spellEnd"/>
      <w:r w:rsidRPr="00F12464">
        <w:rPr>
          <w:rFonts w:ascii="Tahoma" w:eastAsia="Times New Roman" w:hAnsi="Tahoma" w:cs="Tahoma"/>
          <w:color w:val="212121"/>
          <w:lang w:val="en-US"/>
        </w:rPr>
        <w:t xml:space="preserve"> </w:t>
      </w:r>
      <w:proofErr w:type="spellStart"/>
      <w:r w:rsidRPr="00F12464">
        <w:rPr>
          <w:rFonts w:ascii="Tahoma" w:eastAsia="Times New Roman" w:hAnsi="Tahoma" w:cs="Tahoma"/>
          <w:color w:val="212121"/>
          <w:lang w:val="en-US"/>
        </w:rPr>
        <w:t>Gardesani</w:t>
      </w:r>
      <w:proofErr w:type="spellEnd"/>
      <w:r w:rsidRPr="00F12464">
        <w:rPr>
          <w:rFonts w:ascii="Tahoma" w:eastAsia="Times New Roman" w:hAnsi="Tahoma" w:cs="Tahoma"/>
          <w:color w:val="212121"/>
          <w:lang w:val="en-US"/>
        </w:rPr>
        <w:t xml:space="preserve"> Luz &lt;</w:t>
      </w:r>
      <w:r w:rsidRPr="00F12464">
        <w:rPr>
          <w:rFonts w:ascii="Tahoma" w:eastAsia="Times New Roman" w:hAnsi="Tahoma" w:cs="Tahoma"/>
          <w:color w:val="212121"/>
          <w:lang w:val="en-US"/>
        </w:rPr>
        <w:fldChar w:fldCharType="begin"/>
      </w:r>
      <w:r w:rsidRPr="00F12464">
        <w:rPr>
          <w:rFonts w:ascii="Tahoma" w:eastAsia="Times New Roman" w:hAnsi="Tahoma" w:cs="Tahoma"/>
          <w:color w:val="212121"/>
          <w:lang w:val="en-US"/>
        </w:rPr>
        <w:instrText xml:space="preserve"> HYPERLINK "mailto:GARDESAN@senado.leg.br" \t "_blank" </w:instrText>
      </w:r>
      <w:r w:rsidRPr="00F12464">
        <w:rPr>
          <w:rFonts w:ascii="Tahoma" w:eastAsia="Times New Roman" w:hAnsi="Tahoma" w:cs="Tahoma"/>
          <w:color w:val="212121"/>
          <w:lang w:val="en-US"/>
        </w:rPr>
      </w:r>
      <w:r w:rsidRPr="00F12464">
        <w:rPr>
          <w:rFonts w:ascii="Tahoma" w:eastAsia="Times New Roman" w:hAnsi="Tahoma" w:cs="Tahoma"/>
          <w:color w:val="212121"/>
          <w:lang w:val="en-US"/>
        </w:rPr>
        <w:fldChar w:fldCharType="separate"/>
      </w:r>
      <w:r w:rsidRPr="00F12464">
        <w:rPr>
          <w:rFonts w:ascii="Tahoma" w:eastAsia="Times New Roman" w:hAnsi="Tahoma" w:cs="Tahoma"/>
          <w:color w:val="1155CC"/>
          <w:u w:val="single"/>
          <w:lang w:val="en-US"/>
        </w:rPr>
        <w:t>GARDESAN@senado.leg.br</w:t>
      </w:r>
      <w:r w:rsidRPr="00F12464">
        <w:rPr>
          <w:rFonts w:ascii="Tahoma" w:eastAsia="Times New Roman" w:hAnsi="Tahoma" w:cs="Tahoma"/>
          <w:color w:val="212121"/>
          <w:lang w:val="en-US"/>
        </w:rPr>
        <w:fldChar w:fldCharType="end"/>
      </w:r>
      <w:r w:rsidRPr="00F12464">
        <w:rPr>
          <w:rFonts w:ascii="Tahoma" w:eastAsia="Times New Roman" w:hAnsi="Tahoma" w:cs="Tahoma"/>
          <w:color w:val="212121"/>
          <w:lang w:val="en-US"/>
        </w:rPr>
        <w:t xml:space="preserve">&gt; </w:t>
      </w:r>
      <w:proofErr w:type="spellStart"/>
      <w:r w:rsidRPr="00F12464">
        <w:rPr>
          <w:rFonts w:ascii="Tahoma" w:eastAsia="Times New Roman" w:hAnsi="Tahoma" w:cs="Tahoma"/>
          <w:color w:val="212121"/>
          <w:lang w:val="en-US"/>
        </w:rPr>
        <w:t>escreveu</w:t>
      </w:r>
      <w:proofErr w:type="spellEnd"/>
      <w:r w:rsidRPr="00F12464">
        <w:rPr>
          <w:rFonts w:ascii="Tahoma" w:eastAsia="Times New Roman" w:hAnsi="Tahoma" w:cs="Tahoma"/>
          <w:color w:val="212121"/>
          <w:lang w:val="en-US"/>
        </w:rPr>
        <w:t>:</w:t>
      </w:r>
    </w:p>
    <w:p w:rsidR="00F12464" w:rsidRPr="00F12464" w:rsidRDefault="00F12464" w:rsidP="00F12464">
      <w:pPr>
        <w:rPr>
          <w:rFonts w:ascii="Tahoma" w:eastAsia="Times New Roman" w:hAnsi="Tahoma" w:cs="Tahoma"/>
          <w:color w:val="212121"/>
          <w:lang w:val="en-US"/>
        </w:rPr>
      </w:pPr>
      <w:r w:rsidRPr="00F12464">
        <w:rPr>
          <w:rFonts w:ascii="Open Sans" w:eastAsia="Times New Roman" w:hAnsi="Open Sans" w:cs="Open Sans"/>
          <w:color w:val="212121"/>
          <w:lang w:val="en-US"/>
        </w:rPr>
        <w:t>﻿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>
        <w:rPr>
          <w:rFonts w:ascii="Tahoma" w:hAnsi="Tahoma" w:cs="Tahoma"/>
          <w:color w:val="212121"/>
          <w:sz w:val="28"/>
          <w:szCs w:val="28"/>
          <w:lang w:val="en-US"/>
        </w:rPr>
        <w:t>Ofício</w:t>
      </w:r>
      <w:proofErr w:type="spellEnd"/>
      <w:r>
        <w:rPr>
          <w:rFonts w:ascii="Tahoma" w:hAnsi="Tahoma" w:cs="Tahoma"/>
          <w:color w:val="212121"/>
          <w:sz w:val="28"/>
          <w:szCs w:val="28"/>
          <w:lang w:val="en-US"/>
        </w:rPr>
        <w:t xml:space="preserve">  </w:t>
      </w: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005/2020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Ao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Comitê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Acompanhamento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Controle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Doença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Causada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pelo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Coronavírus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, a COVID-19​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cuidados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da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Senhora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Diretora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Geral</w:t>
      </w:r>
      <w:proofErr w:type="spellEnd"/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ILANA TROMBKA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Vimos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meio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deste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solicitar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vossa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senhoria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demais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integrantes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Comitê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possam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examinar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nossa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proposta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alteração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diferentes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textos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tratam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 da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regulamentação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das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ações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administrativas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em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relação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corpo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colaboradores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Federal.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Pudemos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verificar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tanto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em Atos </w:t>
      </w:r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do</w:t>
      </w:r>
      <w:proofErr w:type="gram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Presidente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quanto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em Atos da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Diretoria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Geral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há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 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especificação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idade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65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dispensa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trabalho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ou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encaminhamento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prioritário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teletrabalho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.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Consultada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legislação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brasileira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podemos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verificar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parâmetros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legais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caracterizar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chamados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integrantes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grupo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da </w:t>
      </w:r>
      <w:proofErr w:type="spellStart"/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>terceira</w:t>
      </w:r>
      <w:proofErr w:type="spellEnd"/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>idade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encontraram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-se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definidos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na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Lei 8.842, de 04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janeiro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1994,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assim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como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na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Lei 10.741, de 1º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outubro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2003, em que é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considerado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idoso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"a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pessoa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maior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sessenta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idade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".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Compreendemos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 que as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medidas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anunciadas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pela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administração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estão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voltadas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proteger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aquele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é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considerado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lastRenderedPageBreak/>
        <w:t xml:space="preserve">um dos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mais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significativos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dentre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grupos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risco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Pandemia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COVID-19, 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considerando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: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a) </w:t>
      </w:r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que</w:t>
      </w:r>
      <w:proofErr w:type="gram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todas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estatísticas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divulgadas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sobre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incidência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vírus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divide as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faixas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etárias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pelo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período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10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, 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b) </w:t>
      </w:r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que</w:t>
      </w:r>
      <w:proofErr w:type="gram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faixa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etária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 xml:space="preserve">a </w:t>
      </w:r>
      <w:proofErr w:type="spellStart"/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>partir</w:t>
      </w:r>
      <w:proofErr w:type="spellEnd"/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 xml:space="preserve"> dos 60 </w:t>
      </w:r>
      <w:proofErr w:type="spellStart"/>
      <w:r w:rsidRPr="00F12464">
        <w:rPr>
          <w:rFonts w:ascii="Tahoma" w:hAnsi="Tahoma" w:cs="Tahoma"/>
          <w:b/>
          <w:bCs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 é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identificada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, em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todos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estudos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divulgados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, a que apresenta um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acentuado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aumento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de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risco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,  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vai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se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agravando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ainda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mais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conforme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idade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também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aumenta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,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c) </w:t>
      </w:r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que</w:t>
      </w:r>
      <w:proofErr w:type="gram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acordo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com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legislação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previdenciária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, as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mulheres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podem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se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aposentar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62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 que 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partir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65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colaboradores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 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sexo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masculino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adquirem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direito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à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aposentadoria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,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resta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 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portanto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número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muito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pouco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significativo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colaboradores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continuam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em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atividade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,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Vimos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por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meio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deste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solicitar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sejam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alterados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atos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emanados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das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diferentes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instâncias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Federal, no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sentido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que,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onde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consta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65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passe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constar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60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anos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.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Acreditamos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dessa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forma </w:t>
      </w:r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</w:t>
      </w:r>
      <w:proofErr w:type="gram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administração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Senado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Federal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estará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atuando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baseada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em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aspectos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técnicos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científicos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definir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faixa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etária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colaboradores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devem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ser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preservados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dos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riscos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dessa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Pandemia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.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Permanecemos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ao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inteiro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dispor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para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quaisquer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esclarecimentos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que se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fizerem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necessários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.</w:t>
      </w:r>
      <w:proofErr w:type="gramEnd"/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Atenciosamente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,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Francisco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Tadeu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Gardesani</w:t>
      </w:r>
      <w:proofErr w:type="spellEnd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 xml:space="preserve"> Luz</w:t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proofErr w:type="spellStart"/>
      <w:proofErr w:type="gramStart"/>
      <w:r w:rsidRPr="00F12464">
        <w:rPr>
          <w:rFonts w:ascii="Tahoma" w:hAnsi="Tahoma" w:cs="Tahoma"/>
          <w:color w:val="212121"/>
          <w:sz w:val="28"/>
          <w:szCs w:val="28"/>
          <w:lang w:val="en-US"/>
        </w:rPr>
        <w:t>presidente</w:t>
      </w:r>
      <w:proofErr w:type="spellEnd"/>
      <w:proofErr w:type="gramEnd"/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Resposta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 xml:space="preserve"> da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Diretora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Geral</w:t>
      </w:r>
      <w:proofErr w:type="spellEnd"/>
    </w:p>
    <w:p w:rsidR="00F12464" w:rsidRDefault="00F12464" w:rsidP="00F12464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</w:pPr>
    </w:p>
    <w:p w:rsidR="00F12464" w:rsidRPr="00F12464" w:rsidRDefault="00F12464" w:rsidP="00F12464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De: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Ilana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Trombka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br/>
      </w:r>
      <w:proofErr w:type="spellStart"/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Enviado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: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quinta-feira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, 23 de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abril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de 2020 12:02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br/>
      </w:r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Para: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 Francisco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Tadeu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Gardesani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Luz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br/>
      </w:r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Cc: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Érica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Jandira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Ceolin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; Maria Cristina Silva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Monteiro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; Henrique de Oliveira Lima; Henrique Lima; Mariana Miranda Tavares; Carlos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Penna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Brescianini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; Lucas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Tibúrcio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Duarte;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Walesca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Borges da Cunha e Cruz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br/>
      </w:r>
      <w:proofErr w:type="spellStart"/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Assunto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en-US"/>
        </w:rPr>
        <w:t>:</w:t>
      </w:r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 Re: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Normas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sobre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funcionamento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do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Senado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Federal em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virtude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Pandemia</w:t>
      </w:r>
      <w:proofErr w:type="spellEnd"/>
      <w:r w:rsidRPr="00F1246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do COVID-19</w:t>
      </w:r>
    </w:p>
    <w:p w:rsidR="00F12464" w:rsidRPr="00F12464" w:rsidRDefault="00F12464" w:rsidP="00F12464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12464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</w:p>
    <w:p w:rsidR="00F12464" w:rsidRPr="00F12464" w:rsidRDefault="00F12464" w:rsidP="00F12464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12464">
        <w:rPr>
          <w:rFonts w:ascii="Tahoma" w:eastAsia="Times New Roman" w:hAnsi="Tahoma" w:cs="Tahoma"/>
          <w:color w:val="212121"/>
          <w:lang w:val="en-US"/>
        </w:rPr>
        <w:br/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 xml:space="preserve">Caro Francisco </w:t>
      </w:r>
      <w:proofErr w:type="spellStart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>Gardesani</w:t>
      </w:r>
      <w:proofErr w:type="spellEnd"/>
      <w:proofErr w:type="gramStart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>,                            Em</w:t>
      </w:r>
      <w:proofErr w:type="gramEnd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 xml:space="preserve"> </w:t>
      </w:r>
      <w:proofErr w:type="spellStart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>resposta</w:t>
      </w:r>
      <w:proofErr w:type="spellEnd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 xml:space="preserve"> ao e </w:t>
      </w:r>
      <w:proofErr w:type="spellStart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>após</w:t>
      </w:r>
      <w:proofErr w:type="spellEnd"/>
      <w:r w:rsidRPr="00F12464">
        <w:rPr>
          <w:rFonts w:ascii="Tahoma" w:hAnsi="Tahoma" w:cs="Tahoma"/>
          <w:color w:val="212121"/>
          <w:shd w:val="clear" w:color="auto" w:fill="FFFFFF"/>
          <w:lang w:val="en-US"/>
        </w:rPr>
        <w:t> 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revisão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sobre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o 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fator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 de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risco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idade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 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relacionado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 à 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doença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causada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pelo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novo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coronavírus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(COVID-19)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temos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a </w:t>
      </w:r>
      <w:proofErr w:type="spellStart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>informar</w:t>
      </w:r>
      <w:proofErr w:type="spellEnd"/>
      <w:r w:rsidRPr="00F12464">
        <w:rPr>
          <w:rFonts w:ascii="Calibri" w:hAnsi="Calibri" w:cs="Tahoma"/>
          <w:color w:val="212121"/>
          <w:shd w:val="clear" w:color="auto" w:fill="FFFFFF"/>
          <w:lang w:val="en-US"/>
        </w:rPr>
        <w:t xml:space="preserve"> que: </w:t>
      </w:r>
    </w:p>
    <w:p w:rsidR="00F12464" w:rsidRPr="00F12464" w:rsidRDefault="00F12464" w:rsidP="00F12464">
      <w:pPr>
        <w:shd w:val="clear" w:color="auto" w:fill="FFFFFF"/>
        <w:rPr>
          <w:rFonts w:ascii="Calibri" w:hAnsi="Calibri" w:cs="Times New Roman"/>
          <w:color w:val="212121"/>
          <w:lang w:val="en-US"/>
        </w:rPr>
      </w:pPr>
      <w:r w:rsidRPr="00F12464">
        <w:rPr>
          <w:rFonts w:ascii="Calibri" w:hAnsi="Calibri" w:cs="Times New Roman"/>
          <w:color w:val="212121"/>
          <w:lang w:val="en-US"/>
        </w:rPr>
        <w:t>    </w:t>
      </w:r>
      <w:proofErr w:type="gramStart"/>
      <w:r w:rsidRPr="00F12464">
        <w:rPr>
          <w:rFonts w:ascii="Calibri" w:hAnsi="Calibri" w:cs="Times New Roman"/>
          <w:color w:val="212121"/>
          <w:lang w:val="en-US"/>
        </w:rPr>
        <w:t xml:space="preserve">A COVID-19 é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uma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nova 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há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limitada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informação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envolvendo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fatores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para as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formas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graves.</w:t>
      </w:r>
      <w:proofErr w:type="gram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Baseado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nas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informações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atualmente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disponibilizadas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e </w:t>
      </w:r>
      <w:proofErr w:type="spellStart"/>
      <w:proofErr w:type="gramStart"/>
      <w:r w:rsidRPr="00F12464">
        <w:rPr>
          <w:rFonts w:ascii="Calibri" w:hAnsi="Calibri" w:cs="Times New Roman"/>
          <w:color w:val="212121"/>
          <w:lang w:val="en-US"/>
        </w:rPr>
        <w:t>na</w:t>
      </w:r>
      <w:proofErr w:type="spellEnd"/>
      <w:proofErr w:type="gramEnd"/>
      <w:r w:rsidRPr="00F12464">
        <w:rPr>
          <w:rFonts w:ascii="Calibri" w:hAnsi="Calibri" w:cs="Times New Roman"/>
          <w:i/>
          <w:iCs/>
          <w:color w:val="212121"/>
          <w:lang w:val="en-US"/>
        </w:rPr>
        <w:t> expertise 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clínica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adultos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mais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velhos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pessoas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qualquer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idade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com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condições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sobrejacentes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sérias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estão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sob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aumentado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para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formas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graves da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>. ​</w:t>
      </w:r>
    </w:p>
    <w:p w:rsidR="00F12464" w:rsidRPr="00F12464" w:rsidRDefault="00F12464" w:rsidP="00F12464">
      <w:pPr>
        <w:shd w:val="clear" w:color="auto" w:fill="FFFFFF"/>
        <w:rPr>
          <w:rFonts w:ascii="Calibri" w:hAnsi="Calibri" w:cs="Times New Roman"/>
          <w:color w:val="212121"/>
          <w:lang w:val="en-US"/>
        </w:rPr>
      </w:pPr>
      <w:r w:rsidRPr="00F12464">
        <w:rPr>
          <w:rFonts w:ascii="Calibri" w:hAnsi="Calibri" w:cs="Times New Roman"/>
          <w:color w:val="212121"/>
          <w:lang w:val="en-US"/>
        </w:rPr>
        <w:t xml:space="preserve">    ​Um dos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primeiros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artigos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publicados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experiência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chinesa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sugeriu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que as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comorbidades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estavam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presentes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em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metade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dos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pacientes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sendo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hipertensão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comorbidade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mais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usualmente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encontrada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seguida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por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diabetes 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coronariopatia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. </w:t>
      </w:r>
      <w:proofErr w:type="gramStart"/>
      <w:r w:rsidRPr="00F12464">
        <w:rPr>
          <w:rFonts w:ascii="Calibri" w:hAnsi="Calibri" w:cs="Times New Roman"/>
          <w:color w:val="212121"/>
          <w:lang w:val="en-US"/>
        </w:rPr>
        <w:t>A</w:t>
      </w:r>
      <w:proofErr w:type="gram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média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idade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do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grupo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recebeu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alta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hospitalar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foi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52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anos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e a do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grupo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veio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falecer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foi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69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anos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sendo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essa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diferença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estatisticamente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significativa</w:t>
      </w:r>
      <w:r w:rsidRPr="00F12464">
        <w:rPr>
          <w:rFonts w:ascii="Calibri" w:hAnsi="Calibri" w:cs="Times New Roman"/>
          <w:color w:val="212121"/>
          <w:sz w:val="20"/>
          <w:szCs w:val="20"/>
          <w:vertAlign w:val="superscript"/>
          <w:lang w:val="en-US"/>
        </w:rPr>
        <w:t>1</w:t>
      </w:r>
      <w:r w:rsidRPr="00F12464">
        <w:rPr>
          <w:rFonts w:ascii="Calibri" w:hAnsi="Calibri" w:cs="Times New Roman"/>
          <w:color w:val="212121"/>
          <w:lang w:val="en-US"/>
        </w:rPr>
        <w:t>.</w:t>
      </w:r>
    </w:p>
    <w:p w:rsidR="00F12464" w:rsidRPr="00F12464" w:rsidRDefault="00F12464" w:rsidP="00F12464">
      <w:pPr>
        <w:shd w:val="clear" w:color="auto" w:fill="FFFFFF"/>
        <w:rPr>
          <w:rFonts w:ascii="Calibri" w:hAnsi="Calibri" w:cs="Times New Roman"/>
          <w:color w:val="212121"/>
          <w:lang w:val="en-US"/>
        </w:rPr>
      </w:pPr>
      <w:r w:rsidRPr="00F12464">
        <w:rPr>
          <w:rFonts w:ascii="Calibri" w:hAnsi="Calibri" w:cs="Times New Roman"/>
          <w:color w:val="212121"/>
          <w:lang w:val="en-US"/>
        </w:rPr>
        <w:t xml:space="preserve">    O Centro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Controle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Doenças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Prevenção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dos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Estados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Unidos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(CDC)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elenca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os 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fatores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hAnsi="Calibri" w:cs="Times New Roman"/>
          <w:color w:val="212121"/>
          <w:lang w:val="en-US"/>
        </w:rPr>
        <w:t>já</w:t>
      </w:r>
      <w:proofErr w:type="spellEnd"/>
      <w:r w:rsidRPr="00F12464">
        <w:rPr>
          <w:rFonts w:ascii="Calibri" w:hAnsi="Calibri" w:cs="Times New Roman"/>
          <w:color w:val="212121"/>
          <w:lang w:val="en-US"/>
        </w:rPr>
        <w:t xml:space="preserve"> identificados</w:t>
      </w:r>
      <w:r w:rsidRPr="00F12464">
        <w:rPr>
          <w:rFonts w:ascii="Calibri" w:hAnsi="Calibri" w:cs="Times New Roman"/>
          <w:color w:val="212121"/>
          <w:sz w:val="20"/>
          <w:szCs w:val="20"/>
          <w:vertAlign w:val="superscript"/>
          <w:lang w:val="en-US"/>
        </w:rPr>
        <w:t>2</w:t>
      </w:r>
      <w:r w:rsidRPr="00F12464">
        <w:rPr>
          <w:rFonts w:ascii="Calibri" w:hAnsi="Calibri" w:cs="Times New Roman"/>
          <w:color w:val="212121"/>
          <w:lang w:val="en-US"/>
        </w:rPr>
        <w:t>: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Asma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pulmonar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crônica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Diabetes</w:t>
      </w:r>
      <w:r w:rsidRPr="00F12464">
        <w:rPr>
          <w:rFonts w:ascii="Calibri" w:eastAsia="Times New Roman" w:hAnsi="Calibri" w:cs="Times New Roman"/>
          <w:color w:val="212121"/>
          <w:lang w:val="en-US"/>
        </w:rPr>
        <w:br/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Cardiopatias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graves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renal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crônica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Obesidade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grave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Pessoas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gram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com</w:t>
      </w:r>
      <w:proofErr w:type="gram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mais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de 65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anos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br/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Pessoas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regime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assistência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internação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domiciliar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​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Imunocomprometidos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hepática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   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    Informações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recentes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advindas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países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União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Européia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Reino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Unido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apontam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lá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32% dos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casos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indicam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hospitalização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 2,4%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requerem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internação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UTI.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probabilidade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grave e/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morte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aumenta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</w:t>
      </w:r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pessoas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com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mais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de 65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anos</w:t>
      </w:r>
      <w:r w:rsidRPr="00F12464">
        <w:rPr>
          <w:rFonts w:ascii="Calibri" w:eastAsia="Times New Roman" w:hAnsi="Calibri" w:cs="Times New Roman"/>
          <w:color w:val="212121"/>
          <w:lang w:val="en-US"/>
        </w:rPr>
        <w:t>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naquelas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com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fatores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definidos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como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hipertensão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diabetes,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cardiovascular,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crônica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respiratória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estado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imunológico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comprometido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câncer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obesidade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Esses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grupos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representam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maior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parte dos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casos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graves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fatais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até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 momento</w:t>
      </w:r>
      <w:r w:rsidRPr="00F12464">
        <w:rPr>
          <w:rFonts w:ascii="Calibri" w:eastAsia="Times New Roman" w:hAnsi="Calibri" w:cs="Times New Roman"/>
          <w:color w:val="212121"/>
          <w:vertAlign w:val="superscript"/>
          <w:lang w:val="en-US"/>
        </w:rPr>
        <w:t>3</w:t>
      </w:r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   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-se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aventar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 que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realidade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população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brasileira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é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diferente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realidade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americana</w:t>
      </w:r>
      <w:proofErr w:type="spellEnd"/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européia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,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considerando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somos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um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país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desenvolvimento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com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expectativa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vida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menor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recursos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hospitalares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Porém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devemos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considerar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a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imensa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disparidade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sócio-econômica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população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Organização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Mundial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seu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Relatório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 Mundial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Envelhecimento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,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alerta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embora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parte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diversidade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condições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observada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mais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avançada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reflita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herança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genética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maior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parte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dela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surge dos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ambientes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físicos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sociais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habitamos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Esses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ambientes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incluem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lar</w:t>
      </w:r>
      <w:proofErr w:type="spellEnd"/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vizinhança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comunidade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podem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afetar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diretamente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impor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barreiras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incentivos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influenciam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nossas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oportunidades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decisões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comportamentos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  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As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mudanças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constituem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influenciam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envelhecimento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complexas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No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nível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biológico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envelhecimento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é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associado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acúmulo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uma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grande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variedade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danos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moleculares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celulares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Com o tempo,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esse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dano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leva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a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uma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perda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gradual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reservas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fisiológicas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um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aumento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contrair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diversas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um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declínio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geral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capacidade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intrínseca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indivíduo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última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instância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resulta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no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falecimento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Porém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, 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essas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mudanças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não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são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lineares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consistentes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são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apenas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vagamente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associadas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à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idade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uma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pessoa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em anos</w:t>
      </w:r>
      <w:r w:rsidRPr="00F12464">
        <w:rPr>
          <w:rFonts w:ascii="Calibri" w:eastAsia="Times New Roman" w:hAnsi="Calibri" w:cs="Times New Roman"/>
          <w:b/>
          <w:bCs/>
          <w:color w:val="212121"/>
          <w:vertAlign w:val="superscript"/>
          <w:lang w:val="en-US"/>
        </w:rPr>
        <w:t>4</w:t>
      </w:r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  <w:proofErr w:type="gram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    No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entanto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mesmo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considerando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cenário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brasileiro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Ministério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sua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recente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publicação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17 de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abril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2020, DIRETRIZES PARA DIAGNÓSTICO E TRATAMENTO DA COVID-19,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elenca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fatores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para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complicações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clínicas</w:t>
      </w:r>
      <w:r w:rsidRPr="00F12464">
        <w:rPr>
          <w:rFonts w:ascii="Calibri" w:eastAsia="Times New Roman" w:hAnsi="Calibri" w:cs="Times New Roman"/>
          <w:color w:val="212121"/>
          <w:vertAlign w:val="superscript"/>
          <w:lang w:val="en-US"/>
        </w:rPr>
        <w:t>5</w:t>
      </w:r>
      <w:r w:rsidRPr="00F12464">
        <w:rPr>
          <w:rFonts w:ascii="Calibri" w:eastAsia="Times New Roman" w:hAnsi="Calibri" w:cs="Times New Roman"/>
          <w:color w:val="212121"/>
          <w:lang w:val="en-US"/>
        </w:rPr>
        <w:t>: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)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≥ 65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anos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ii)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Presença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comorbidades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(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hipertensão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diabetes,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pulmonar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prévia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cardiovascular,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cerebrovascular,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imunossupressão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câncer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).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iii)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Uso</w:t>
      </w:r>
      <w:proofErr w:type="spellEnd"/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corticoide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imunossupressores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br/>
        <w:t xml:space="preserve">   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mesmo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Ministério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seu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Boletim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Epidemiológico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nº 11, de 17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abril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2020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mostra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distribuição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óbitos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faixa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etária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considera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mesma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faixa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etária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população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60 a 69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Afirma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 que entre 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óbitos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confirmados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COVID-19, 72%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tinham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mais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60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enquanto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73%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apresentavam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pelo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um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fator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cardiopatia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foi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principal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comorbidade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associada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esteve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presente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em 841 dos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óbitos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seguida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diabetes (em 649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óbitos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),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pneumopatia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(173),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neurológica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(146)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renal (144).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Em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todos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grupos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risco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maioria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indivíduos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tinha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60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anos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mais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exceto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para obesidade</w:t>
      </w:r>
      <w:r w:rsidRPr="00F12464">
        <w:rPr>
          <w:rFonts w:ascii="Calibri" w:eastAsia="Times New Roman" w:hAnsi="Calibri" w:cs="Times New Roman"/>
          <w:color w:val="212121"/>
          <w:vertAlign w:val="superscript"/>
          <w:lang w:val="en-US"/>
        </w:rPr>
        <w:t>6</w:t>
      </w:r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Reafirmo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que,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apesar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do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uso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faixa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etária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para fins de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cálculos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estatísticos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, o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Ministério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permanece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considerando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como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fator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risco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para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complicações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clínicas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, a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idade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de 65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anos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ou</w:t>
      </w:r>
      <w:proofErr w:type="spellEnd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b/>
          <w:bCs/>
          <w:color w:val="212121"/>
          <w:lang w:val="en-US"/>
        </w:rPr>
        <w:t>mais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     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As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recomendações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dinâmicas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podem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ser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alteradas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qualquer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tempo no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cenário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uma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pandemia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pouco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conhecida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                                                                               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qualquer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maneira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está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facultado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todos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gestores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Senado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Federal,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acordo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com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os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critérios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achar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adequado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e da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realidade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trabalho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área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arbitrar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sobre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utilização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tele-trabalho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. </w:t>
      </w:r>
      <w:proofErr w:type="spellStart"/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Importante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destacar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ninguém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melhor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que o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gerente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cada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setor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conhecer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as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necessidades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específicas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sua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área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t>   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Além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disso, o canal </w:t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begin"/>
      </w:r>
      <w:r w:rsidRPr="00F12464">
        <w:rPr>
          <w:rFonts w:ascii="Calibri" w:eastAsia="Times New Roman" w:hAnsi="Calibri" w:cs="Times New Roman"/>
          <w:color w:val="212121"/>
          <w:lang w:val="en-US"/>
        </w:rPr>
        <w:instrText xml:space="preserve"> HYPERLINK "mailto:siscorona@senado.leg.br" \t "_blank" </w:instrText>
      </w:r>
      <w:r w:rsidRPr="00F12464">
        <w:rPr>
          <w:rFonts w:ascii="Calibri" w:eastAsia="Times New Roman" w:hAnsi="Calibri" w:cs="Times New Roman"/>
          <w:color w:val="212121"/>
          <w:lang w:val="en-US"/>
        </w:rPr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separate"/>
      </w:r>
      <w:r w:rsidRPr="00F12464">
        <w:rPr>
          <w:rFonts w:ascii="Calibri" w:eastAsia="Times New Roman" w:hAnsi="Calibri" w:cs="Times New Roman"/>
          <w:color w:val="0000FF"/>
          <w:u w:val="single"/>
          <w:lang w:val="en-US"/>
        </w:rPr>
        <w:t>siscorona@senado.leg.br</w:t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end"/>
      </w:r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está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disponível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para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orientações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sobre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casos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específicos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.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Atenciosamente</w:t>
      </w:r>
      <w:proofErr w:type="spellEnd"/>
      <w:proofErr w:type="gramStart"/>
      <w:r w:rsidRPr="00F12464">
        <w:rPr>
          <w:rFonts w:ascii="Calibri" w:eastAsia="Times New Roman" w:hAnsi="Calibri" w:cs="Times New Roman"/>
          <w:color w:val="212121"/>
          <w:lang w:val="en-US"/>
        </w:rPr>
        <w:t>,                                                                                                                          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Ilana</w:t>
      </w:r>
      <w:proofErr w:type="spellEnd"/>
      <w:proofErr w:type="gramEnd"/>
      <w:r w:rsidRPr="00F12464">
        <w:rPr>
          <w:rFonts w:ascii="Calibri" w:eastAsia="Times New Roman" w:hAnsi="Calibri" w:cs="Times New Roman"/>
          <w:color w:val="212121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lang w:val="en-US"/>
        </w:rPr>
        <w:t>Trombka</w:t>
      </w:r>
      <w:proofErr w:type="spellEnd"/>
      <w:r w:rsidRPr="00F12464">
        <w:rPr>
          <w:rFonts w:ascii="Calibri" w:eastAsia="Times New Roman" w:hAnsi="Calibri" w:cs="Times New Roman"/>
          <w:color w:val="212121"/>
          <w:lang w:val="en-US"/>
        </w:rPr>
        <w:t>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lang w:val="en-US"/>
        </w:rPr>
        <w:br/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Referências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1. 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Fei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Zhou​ e cols. Clinical course and risk factors for mortality of adult inpatients with COVID-19 in Wuhan, China: a retrospective cohort study. Lancet 2020; 395: 1054–62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proofErr w:type="gram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2. </w:t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begin"/>
      </w:r>
      <w:r w:rsidRPr="00F12464">
        <w:rPr>
          <w:rFonts w:ascii="Calibri" w:eastAsia="Times New Roman" w:hAnsi="Calibri" w:cs="Times New Roman"/>
          <w:color w:val="212121"/>
          <w:lang w:val="en-US"/>
        </w:rPr>
        <w:instrText xml:space="preserve"> HYPERLINK "https://www.cdc.gov/coronavirus/2019-ncov/need-extra-precautions/groups-at-higher-risk.html" \t "_blank" </w:instrText>
      </w:r>
      <w:r w:rsidRPr="00F12464">
        <w:rPr>
          <w:rFonts w:ascii="Calibri" w:eastAsia="Times New Roman" w:hAnsi="Calibri" w:cs="Times New Roman"/>
          <w:color w:val="212121"/>
          <w:lang w:val="en-US"/>
        </w:rPr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separate"/>
      </w:r>
      <w:r w:rsidRPr="00F12464">
        <w:rPr>
          <w:rFonts w:ascii="Calibri" w:eastAsia="Times New Roman" w:hAnsi="Calibri" w:cs="Times New Roman"/>
          <w:color w:val="1155CC"/>
          <w:sz w:val="16"/>
          <w:szCs w:val="16"/>
          <w:u w:val="single"/>
          <w:lang w:val="en-US"/>
        </w:rPr>
        <w:t>https://www.cdc.gov/coronavirus/2019-ncov/need-extra-precautions/groups-at-higher-risk.html</w:t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end"/>
      </w:r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br/>
        <w:t>3.</w:t>
      </w:r>
      <w:proofErr w:type="gram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 </w:t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begin"/>
      </w:r>
      <w:r w:rsidRPr="00F12464">
        <w:rPr>
          <w:rFonts w:ascii="Calibri" w:eastAsia="Times New Roman" w:hAnsi="Calibri" w:cs="Times New Roman"/>
          <w:color w:val="212121"/>
          <w:lang w:val="en-US"/>
        </w:rPr>
        <w:instrText xml:space="preserve"> HYPERLINK "https://www.ecdc.europa.eu/en/current-risk-assessment-novel-coronavirus-situation" \t "_blank" </w:instrText>
      </w:r>
      <w:r w:rsidRPr="00F12464">
        <w:rPr>
          <w:rFonts w:ascii="Calibri" w:eastAsia="Times New Roman" w:hAnsi="Calibri" w:cs="Times New Roman"/>
          <w:color w:val="212121"/>
          <w:lang w:val="en-US"/>
        </w:rPr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separate"/>
      </w:r>
      <w:r w:rsidRPr="00F12464">
        <w:rPr>
          <w:rFonts w:ascii="Calibri" w:eastAsia="Times New Roman" w:hAnsi="Calibri" w:cs="Times New Roman"/>
          <w:color w:val="1155CC"/>
          <w:sz w:val="16"/>
          <w:szCs w:val="16"/>
          <w:u w:val="single"/>
          <w:lang w:val="en-US"/>
        </w:rPr>
        <w:t>https://www.ecdc.europa.eu/en/current-risk-assessment-novel-coronavirus-situation</w:t>
      </w:r>
      <w:r w:rsidRPr="00F12464">
        <w:rPr>
          <w:rFonts w:ascii="Calibri" w:eastAsia="Times New Roman" w:hAnsi="Calibri" w:cs="Times New Roman"/>
          <w:color w:val="212121"/>
          <w:lang w:val="en-US"/>
        </w:rPr>
        <w:fldChar w:fldCharType="end"/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4. 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Relatório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 Mundial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Envelhecimento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 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. 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Organização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Mundial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, 2015  </w:t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5. DIRETRIZES PARA DIAGNÓSTICO E TRATAMENTO DA COVID-19. 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Versão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3. </w:t>
      </w:r>
      <w:proofErr w:type="gram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17 de</w:t>
      </w:r>
      <w:proofErr w:type="gram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abril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de 2020. 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Secretaria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Ciência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Tecnologia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,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Inovação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Insumos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Estratégicos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- SCTIE.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Ministério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6.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Boletim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Epidemiológico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Número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11. Centro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Operações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Emergência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Pùblica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/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Doença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pelo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Coronavírus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2019 (COE-COVID-19. </w:t>
      </w:r>
      <w:proofErr w:type="spellStart"/>
      <w:proofErr w:type="gram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Secretaria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Vigilância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em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/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Ministério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da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Saúde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.</w:t>
      </w:r>
      <w:proofErr w:type="gram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17 de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abril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de 2020/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Semana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</w:t>
      </w:r>
      <w:proofErr w:type="spellStart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>Epidemiológica</w:t>
      </w:r>
      <w:proofErr w:type="spellEnd"/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t xml:space="preserve"> 16 (12 - 18/04)</w:t>
      </w:r>
    </w:p>
    <w:p w:rsidR="00F12464" w:rsidRPr="00F12464" w:rsidRDefault="00F12464" w:rsidP="00F12464">
      <w:pPr>
        <w:shd w:val="clear" w:color="auto" w:fill="FFFFFF"/>
        <w:spacing w:after="240"/>
        <w:rPr>
          <w:rFonts w:ascii="Calibri" w:eastAsia="Times New Roman" w:hAnsi="Calibri" w:cs="Times New Roman"/>
          <w:color w:val="212121"/>
          <w:lang w:val="en-US"/>
        </w:rPr>
      </w:pPr>
      <w:r w:rsidRPr="00F12464">
        <w:rPr>
          <w:rFonts w:ascii="Calibri" w:eastAsia="Times New Roman" w:hAnsi="Calibri" w:cs="Times New Roman"/>
          <w:color w:val="212121"/>
          <w:sz w:val="16"/>
          <w:szCs w:val="16"/>
          <w:lang w:val="en-US"/>
        </w:rPr>
        <w:br/>
      </w: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</w:p>
    <w:p w:rsidR="00F12464" w:rsidRPr="00F12464" w:rsidRDefault="00F12464" w:rsidP="00F12464">
      <w:pPr>
        <w:shd w:val="clear" w:color="auto" w:fill="FFFFFF"/>
        <w:rPr>
          <w:rFonts w:ascii="Calibri" w:eastAsia="Times New Roman" w:hAnsi="Calibri" w:cs="Times New Roman"/>
          <w:color w:val="212121"/>
          <w:lang w:val="en-US"/>
        </w:rPr>
      </w:pPr>
    </w:p>
    <w:p w:rsidR="00F12464" w:rsidRPr="00F12464" w:rsidRDefault="00F12464" w:rsidP="00F12464">
      <w:pPr>
        <w:rPr>
          <w:rFonts w:ascii="Tahoma" w:eastAsia="Times New Roman" w:hAnsi="Tahoma" w:cs="Tahoma"/>
          <w:color w:val="212121"/>
          <w:lang w:val="en-US"/>
        </w:rPr>
      </w:pPr>
      <w:proofErr w:type="spellStart"/>
      <w:r w:rsidRPr="00F12464">
        <w:rPr>
          <w:rFonts w:ascii="Tahoma" w:eastAsia="Times New Roman" w:hAnsi="Tahoma" w:cs="Tahoma"/>
          <w:color w:val="212121"/>
          <w:lang w:val="en-US"/>
        </w:rPr>
        <w:t>Enviado</w:t>
      </w:r>
      <w:proofErr w:type="spellEnd"/>
      <w:r w:rsidRPr="00F12464">
        <w:rPr>
          <w:rFonts w:ascii="Tahoma" w:eastAsia="Times New Roman" w:hAnsi="Tahoma" w:cs="Tahoma"/>
          <w:color w:val="212121"/>
          <w:lang w:val="en-US"/>
        </w:rPr>
        <w:t xml:space="preserve"> do </w:t>
      </w:r>
      <w:proofErr w:type="spellStart"/>
      <w:r w:rsidRPr="00F12464">
        <w:rPr>
          <w:rFonts w:ascii="Tahoma" w:eastAsia="Times New Roman" w:hAnsi="Tahoma" w:cs="Tahoma"/>
          <w:color w:val="212121"/>
          <w:lang w:val="en-US"/>
        </w:rPr>
        <w:t>meu</w:t>
      </w:r>
      <w:proofErr w:type="spellEnd"/>
      <w:r w:rsidRPr="00F12464">
        <w:rPr>
          <w:rFonts w:ascii="Tahoma" w:eastAsia="Times New Roman" w:hAnsi="Tahoma" w:cs="Tahoma"/>
          <w:color w:val="212121"/>
          <w:lang w:val="en-US"/>
        </w:rPr>
        <w:t xml:space="preserve"> iPhone</w:t>
      </w:r>
    </w:p>
    <w:p w:rsidR="00F12464" w:rsidRPr="00F12464" w:rsidRDefault="00F12464" w:rsidP="00F12464">
      <w:pPr>
        <w:rPr>
          <w:rFonts w:ascii="Tahoma" w:eastAsia="Times New Roman" w:hAnsi="Tahoma" w:cs="Tahoma"/>
          <w:color w:val="212121"/>
          <w:lang w:val="en-US"/>
        </w:rPr>
      </w:pPr>
      <w:r w:rsidRPr="00F12464">
        <w:rPr>
          <w:rFonts w:ascii="Tahoma" w:eastAsia="Times New Roman" w:hAnsi="Tahoma" w:cs="Tahoma"/>
          <w:color w:val="212121"/>
          <w:lang w:val="en-US"/>
        </w:rPr>
        <w:br/>
      </w:r>
    </w:p>
    <w:p w:rsidR="00F12464" w:rsidRPr="00F12464" w:rsidRDefault="00F12464" w:rsidP="00F12464">
      <w:pPr>
        <w:rPr>
          <w:rFonts w:ascii="Tahoma" w:hAnsi="Tahoma" w:cs="Tahoma"/>
          <w:color w:val="212121"/>
          <w:lang w:val="en-US"/>
        </w:rPr>
      </w:pPr>
    </w:p>
    <w:p w:rsidR="00F12464" w:rsidRPr="00F12464" w:rsidRDefault="00F12464" w:rsidP="00F12464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6541D" w:rsidRDefault="0016541D"/>
    <w:sectPr w:rsidR="0016541D" w:rsidSect="001654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64"/>
    <w:rsid w:val="0016541D"/>
    <w:rsid w:val="00C166DD"/>
    <w:rsid w:val="00F1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464"/>
  </w:style>
  <w:style w:type="paragraph" w:styleId="NormalWeb">
    <w:name w:val="Normal (Web)"/>
    <w:basedOn w:val="Normal"/>
    <w:uiPriority w:val="99"/>
    <w:semiHidden/>
    <w:unhideWhenUsed/>
    <w:rsid w:val="00F1246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124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2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464"/>
  </w:style>
  <w:style w:type="paragraph" w:styleId="NormalWeb">
    <w:name w:val="Normal (Web)"/>
    <w:basedOn w:val="Normal"/>
    <w:uiPriority w:val="99"/>
    <w:semiHidden/>
    <w:unhideWhenUsed/>
    <w:rsid w:val="00F1246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124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2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9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8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4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76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0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5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83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1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8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367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5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1404</Words>
  <Characters>8007</Characters>
  <Application>Microsoft Macintosh Word</Application>
  <DocSecurity>0</DocSecurity>
  <Lines>66</Lines>
  <Paragraphs>18</Paragraphs>
  <ScaleCrop>false</ScaleCrop>
  <Company>PARTICULAR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TAVARES</dc:creator>
  <cp:keywords/>
  <dc:description/>
  <cp:lastModifiedBy>MARIANA TAVARES</cp:lastModifiedBy>
  <cp:revision>1</cp:revision>
  <dcterms:created xsi:type="dcterms:W3CDTF">2020-05-19T13:24:00Z</dcterms:created>
  <dcterms:modified xsi:type="dcterms:W3CDTF">2020-05-20T14:18:00Z</dcterms:modified>
</cp:coreProperties>
</file>